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B2A4A" w:val="clear"/>
            <w:tcMar>
              <w:top w:type="dxa" w:w="320"/>
              <w:left w:type="dxa" w:w="440"/>
              <w:bottom w:type="dxa" w:w="220"/>
              <w:right w:type="dxa" w:w="440"/>
            </w:tcMar>
          </w:tcPr>
          <w:p>
            <w:pPr>
              <w:spacing w:after="80"/>
            </w:pPr>
            <w:r>
              <w:rPr>
                <w:rFonts w:ascii="Arial" w:cs="Arial" w:eastAsia="Arial" w:hAnsi="Arial"/>
                <w:b/>
                <w:bCs/>
                <w:color w:val="FFFFFF"/>
                <w:sz w:val="44"/>
                <w:szCs w:val="44"/>
              </w:rPr>
              <w:t xml:space="preserve">Content Audit Framework</w:t>
            </w:r>
          </w:p>
          <w:p>
            <w:r>
              <w:rPr>
                <w:rFonts w:ascii="Arial" w:cs="Arial" w:eastAsia="Arial" w:hAnsi="Arial"/>
                <w:color w:val="C8D4E8"/>
                <w:sz w:val="22"/>
                <w:szCs w:val="22"/>
              </w:rPr>
              <w:t xml:space="preserve">She Leads Content  ·  A system for knowing what you have, what it's doing, and what to do next</w:t>
            </w:r>
          </w:p>
        </w:tc>
      </w:tr>
      <w:tr>
        <w:tc>
          <w:tcPr>
            <w:tcW w:type="dxa" w:w="9360"/>
            <w:tcBorders>
              <w:top w:val="none" w:color="FFFFFF" w:sz="0"/>
              <w:left w:val="none" w:color="FFFFFF" w:sz="0"/>
              <w:bottom w:val="none" w:color="FFFFFF" w:sz="0"/>
              <w:right w:val="none" w:color="FFFFFF" w:sz="0"/>
            </w:tcBorders>
            <w:shd w:fill="C1674A" w:val="clear"/>
          </w:tcPr>
          <w:p>
            <w:r>
              <w:rPr>
                <w:sz w:val="6"/>
                <w:szCs w:val="6"/>
              </w:rPr>
              <w:t xml:space="preserve"> </w:t>
            </w:r>
          </w:p>
        </w:tc>
      </w:tr>
    </w:tbl>
    <w:p>
      <w:pPr>
        <w:spacing w:after="26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WHAT THIS FRAMEWORK IS FOR</w:t>
      </w:r>
    </w:p>
    <w:p>
      <w:pPr>
        <w:spacing w:after="120" w:before="80"/>
        <w:jc w:val="left"/>
      </w:pPr>
      <w:r>
        <w:rPr>
          <w:rFonts w:ascii="Arial" w:cs="Arial" w:eastAsia="Arial" w:hAnsi="Arial"/>
          <w:b w:val="false"/>
          <w:bCs w:val="false"/>
          <w:i w:val="false"/>
          <w:iCs w:val="false"/>
          <w:color w:val="555555"/>
          <w:sz w:val="20"/>
          <w:szCs w:val="20"/>
        </w:rPr>
        <w:t xml:space="preserve">A content audit is not a spring clean. It's a strategic inventory. Done properly, it tells you where your content is earning its place, where it's quietly draining resources, and where the gaps are that your competitors are already filling.</w:t>
      </w:r>
    </w:p>
    <w:p>
      <w:pPr>
        <w:spacing w:after="200" w:before="0"/>
        <w:jc w:val="left"/>
      </w:pPr>
      <w:r>
        <w:rPr>
          <w:rFonts w:ascii="Arial" w:cs="Arial" w:eastAsia="Arial" w:hAnsi="Arial"/>
          <w:b w:val="false"/>
          <w:bCs w:val="false"/>
          <w:i w:val="false"/>
          <w:iCs w:val="false"/>
          <w:color w:val="555555"/>
          <w:sz w:val="20"/>
          <w:szCs w:val="20"/>
        </w:rPr>
        <w:t xml:space="preserve">This framework walks you through the full process: what to audit, how to score it, what decisions to make, and how to prioritise action. Use it quarterly for a light-touch review, or annually for a full overhaul.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Don't audit everything at once. If your site has more than 100 pieces of content, run this framework in phases — starting with your highest-traffic pages and your most conversion-critical content.</w:t>
            </w:r>
          </w:p>
        </w:tc>
      </w:tr>
    </w:tbl>
    <w:p>
      <w:pPr>
        <w:spacing w:after="22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PHASE 1 — DEFINE YOUR SCOPE</w:t>
      </w:r>
    </w:p>
    <w:p>
      <w:pPr>
        <w:spacing w:after="80" w:before="220"/>
      </w:pPr>
      <w:r>
        <w:rPr>
          <w:rFonts w:ascii="Arial" w:cs="Arial" w:eastAsia="Arial" w:hAnsi="Arial"/>
          <w:b/>
          <w:bCs/>
          <w:color w:val="2A8C8C"/>
          <w:sz w:val="24"/>
          <w:szCs w:val="24"/>
        </w:rPr>
        <w:t xml:space="preserve">1.1  What Are You Auditing?</w:t>
      </w:r>
    </w:p>
    <w:p>
      <w:pPr>
        <w:spacing w:after="120" w:before="0"/>
        <w:jc w:val="left"/>
      </w:pPr>
      <w:r>
        <w:rPr>
          <w:rFonts w:ascii="Arial" w:cs="Arial" w:eastAsia="Arial" w:hAnsi="Arial"/>
          <w:b w:val="false"/>
          <w:bCs w:val="false"/>
          <w:i w:val="false"/>
          <w:iCs w:val="false"/>
          <w:color w:val="555555"/>
          <w:sz w:val="20"/>
          <w:szCs w:val="20"/>
        </w:rPr>
        <w:t xml:space="preserve">Before you pull a single URL into a spreadsheet, decide what's in scope. Trying to audit everything simultaneously is how audits die in draft.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3380"/>
        <w:gridCol w:w="3380"/>
      </w:tblGrid>
      <w:tr>
        <w:tc>
          <w:tcPr>
            <w:tcW w:type="dxa" w:w="26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Content Type</w:t>
            </w:r>
          </w:p>
        </w:tc>
        <w:tc>
          <w:tcPr>
            <w:tcW w:type="dxa" w:w="33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In Scope? (Y/N)</w:t>
            </w:r>
          </w:p>
        </w:tc>
        <w:tc>
          <w:tcPr>
            <w:tcW w:type="dxa" w:w="33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Notes</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Blog posts / Articles</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Landing pages</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Product / Feature pages</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Case studies</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White papers / Guides</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Email sequences</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Video / Podcast content</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Social content</w:t>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Help / Documentation</w:t>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33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200" w:before="0"/>
      </w:pPr>
      <w:r>
        <w:rPr>
          <w:sz w:val="4"/>
          <w:szCs w:val="4"/>
        </w:rPr>
        <w:t xml:space="preserve"> </w:t>
      </w:r>
    </w:p>
    <w:p>
      <w:pPr>
        <w:spacing w:after="80" w:before="220"/>
      </w:pPr>
      <w:r>
        <w:rPr>
          <w:rFonts w:ascii="Arial" w:cs="Arial" w:eastAsia="Arial" w:hAnsi="Arial"/>
          <w:b/>
          <w:bCs/>
          <w:color w:val="2A8C8C"/>
          <w:sz w:val="24"/>
          <w:szCs w:val="24"/>
        </w:rPr>
        <w:t xml:space="preserve">1.2  What Goal Is This Audit Serving?</w:t>
      </w:r>
    </w:p>
    <w:p>
      <w:pPr>
        <w:spacing w:after="120" w:before="0"/>
        <w:jc w:val="left"/>
      </w:pPr>
      <w:r>
        <w:rPr>
          <w:rFonts w:ascii="Arial" w:cs="Arial" w:eastAsia="Arial" w:hAnsi="Arial"/>
          <w:b w:val="false"/>
          <w:bCs w:val="false"/>
          <w:i w:val="false"/>
          <w:iCs w:val="false"/>
          <w:color w:val="555555"/>
          <w:sz w:val="20"/>
          <w:szCs w:val="20"/>
        </w:rPr>
        <w:t xml:space="preserve">Your audit goal determines which metrics matter most. Tick the primary goal — or define your own.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4330"/>
        <w:gridCol w:w="4330"/>
      </w:tblGrid>
      <w:tr>
        <w:tc>
          <w:tcPr>
            <w:tcW w:type="dxa" w:w="700"/>
            <w:tcBorders>
              <w:top w:val="single" w:color="2A8C8C" w:sz="4"/>
              <w:left w:val="single" w:color="2A8C8C" w:sz="4"/>
              <w:bottom w:val="single" w:color="2A8C8C" w:sz="4"/>
              <w:right w:val="single" w:color="2A8C8C" w:sz="4"/>
            </w:tcBorders>
            <w:shd w:fill="2A8C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
            </w:r>
          </w:p>
        </w:tc>
        <w:tc>
          <w:tcPr>
            <w:tcW w:type="dxa" w:w="4330"/>
            <w:tcBorders>
              <w:top w:val="single" w:color="2A8C8C" w:sz="4"/>
              <w:left w:val="single" w:color="2A8C8C" w:sz="4"/>
              <w:bottom w:val="single" w:color="2A8C8C" w:sz="4"/>
              <w:right w:val="single" w:color="2A8C8C" w:sz="4"/>
            </w:tcBorders>
            <w:shd w:fill="2A8C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Audit Goal</w:t>
            </w:r>
          </w:p>
        </w:tc>
        <w:tc>
          <w:tcPr>
            <w:tcW w:type="dxa" w:w="4330"/>
            <w:tcBorders>
              <w:top w:val="single" w:color="2A8C8C" w:sz="4"/>
              <w:left w:val="single" w:color="2A8C8C" w:sz="4"/>
              <w:bottom w:val="single" w:color="2A8C8C" w:sz="4"/>
              <w:right w:val="single" w:color="2A8C8C" w:sz="4"/>
            </w:tcBorders>
            <w:shd w:fill="2A8C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Primary Metrics to Pull</w:t>
            </w:r>
          </w:p>
        </w:tc>
      </w:tr>
      <w:tr>
        <w:tc>
          <w:tcPr>
            <w:tcW w:type="dxa" w:w="7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433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Improve organic rankings</w:t>
            </w:r>
          </w:p>
        </w:tc>
        <w:tc>
          <w:tcPr>
            <w:tcW w:type="dxa" w:w="433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Impressions, avg. position, clicks, keyword coverage, cannibalization</w:t>
            </w:r>
          </w:p>
        </w:tc>
      </w:tr>
      <w:tr>
        <w:tc>
          <w:tcPr>
            <w:tcW w:type="dxa" w:w="7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433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Increase lead conversion</w:t>
            </w:r>
          </w:p>
        </w:tc>
        <w:tc>
          <w:tcPr>
            <w:tcW w:type="dxa" w:w="433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Conv. rate, MQLs by page, CTA performance, funnel stage alignment</w:t>
            </w:r>
          </w:p>
        </w:tc>
      </w:tr>
      <w:tr>
        <w:tc>
          <w:tcPr>
            <w:tcW w:type="dxa" w:w="7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433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Reduce content waste</w:t>
            </w:r>
          </w:p>
        </w:tc>
        <w:tc>
          <w:tcPr>
            <w:tcW w:type="dxa" w:w="433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Sessions, time on page, bounce rate, last-updated date, duplication</w:t>
            </w:r>
          </w:p>
        </w:tc>
      </w:tr>
      <w:tr>
        <w:tc>
          <w:tcPr>
            <w:tcW w:type="dxa" w:w="7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433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Support a site migration or rebrand</w:t>
            </w:r>
          </w:p>
        </w:tc>
        <w:tc>
          <w:tcPr>
            <w:tcW w:type="dxa" w:w="433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All URLs, redirect mapping, canonical status, indexed/not indexed</w:t>
            </w:r>
          </w:p>
        </w:tc>
      </w:tr>
      <w:tr>
        <w:tc>
          <w:tcPr>
            <w:tcW w:type="dxa" w:w="7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433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Identify repurposing opportunities</w:t>
            </w:r>
          </w:p>
        </w:tc>
        <w:tc>
          <w:tcPr>
            <w:tcW w:type="dxa" w:w="433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Format, evergreen score, top-performing angle, channel coverage</w:t>
            </w:r>
          </w:p>
        </w:tc>
      </w:tr>
      <w:tr>
        <w:tc>
          <w:tcPr>
            <w:tcW w:type="dxa" w:w="7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w:t>
            </w:r>
          </w:p>
        </w:tc>
        <w:tc>
          <w:tcPr>
            <w:tcW w:type="dxa" w:w="433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Prove content ROI to leadership</w:t>
            </w:r>
          </w:p>
        </w:tc>
        <w:tc>
          <w:tcPr>
            <w:tcW w:type="dxa" w:w="433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Revenue influenced, MQLs, deal assist, CAC contribution by piece</w:t>
            </w:r>
          </w:p>
        </w:tc>
      </w:tr>
    </w:tbl>
    <w:p>
      <w:pPr>
        <w:spacing w:after="26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PHASE 2 — BUILD YOUR INVENTORY</w:t>
      </w:r>
    </w:p>
    <w:p>
      <w:pPr>
        <w:spacing w:after="80" w:before="220"/>
      </w:pPr>
      <w:r>
        <w:rPr>
          <w:rFonts w:ascii="Arial" w:cs="Arial" w:eastAsia="Arial" w:hAnsi="Arial"/>
          <w:b/>
          <w:bCs/>
          <w:color w:val="2A8C8C"/>
          <w:sz w:val="24"/>
          <w:szCs w:val="24"/>
        </w:rPr>
        <w:t xml:space="preserve">2.1  Data to Collect Per URL</w:t>
      </w:r>
    </w:p>
    <w:p>
      <w:pPr>
        <w:spacing w:after="120" w:before="0"/>
        <w:jc w:val="left"/>
      </w:pPr>
      <w:r>
        <w:rPr>
          <w:rFonts w:ascii="Arial" w:cs="Arial" w:eastAsia="Arial" w:hAnsi="Arial"/>
          <w:b w:val="false"/>
          <w:bCs w:val="false"/>
          <w:i w:val="false"/>
          <w:iCs w:val="false"/>
          <w:color w:val="555555"/>
          <w:sz w:val="20"/>
          <w:szCs w:val="20"/>
        </w:rPr>
        <w:t xml:space="preserve">Pull your content list from your CMS or a sitemap crawl. For each URL, collect the following. Use a spreadsheet alongside this document — the table below is a reference for what fields to include.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1680"/>
        <w:gridCol w:w="5080"/>
      </w:tblGrid>
      <w:tr>
        <w:tc>
          <w:tcPr>
            <w:tcW w:type="dxa" w:w="26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Data Field</w:t>
            </w:r>
          </w:p>
        </w:tc>
        <w:tc>
          <w:tcPr>
            <w:tcW w:type="dxa" w:w="16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Source</w:t>
            </w:r>
          </w:p>
        </w:tc>
        <w:tc>
          <w:tcPr>
            <w:tcW w:type="dxa" w:w="50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What It Tells You</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URL + Page Title</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CMS / Screaming Frog</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Baseline inventory — what exists</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Content Format</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Manual</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Blog, guide, video, case study, etc.</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Word Count</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Screaming Frog / SEMrush</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Signals depth; flags thin content</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Publish Date / Last Updated</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CMS</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Identify stale content; freshness decay</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Organic Sessions (90 days)</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GA4</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Is this page earning traffic?</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Avg. Engagement Time</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GA4</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Is the traffic actually reading it?</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Bounce / Engagement Rate</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GA4</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Are they staying or bouncing straight off?</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Conversions / Conv. Rate</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GA4</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Is traffic doing anything useful?</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Impressions (GSC)</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Search Console</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Visibility in search — even without clicks</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Avg. Position (GSC)</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Search Console</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Ranking health for target keywords</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Primary Keyword</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Manual / SEMrush</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What is this page trying to rank for?</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Keyword Difficulty</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SEMrush / Ahrefs</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Is the target achievable?</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Backlinks</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Ahrefs / SEMrush</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Domain authority signal; worth preserving?</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Internal Links To This Page</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Screaming Frog</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How well is it supported by the site?</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Funnel Stage</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Manual</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TOFU / MOFU / BOFU — or not mapped</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Content Pillar / Topic Cluster</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Manual</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Where does this fit in your architecture?</w:t>
            </w:r>
          </w:p>
        </w:tc>
      </w:tr>
      <w:tr>
        <w:tc>
          <w:tcPr>
            <w:tcW w:type="dxa" w:w="26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CTA Present?</w:t>
            </w:r>
          </w:p>
        </w:tc>
        <w:tc>
          <w:tcPr>
            <w:tcW w:type="dxa" w:w="16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Manual</w:t>
            </w:r>
          </w:p>
        </w:tc>
        <w:tc>
          <w:tcPr>
            <w:tcW w:type="dxa" w:w="50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Is there a next step? What is it?</w:t>
            </w:r>
          </w:p>
        </w:tc>
      </w:tr>
      <w:tr>
        <w:tc>
          <w:tcPr>
            <w:tcW w:type="dxa" w:w="26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Canonical / Index Status</w:t>
            </w:r>
          </w:p>
        </w:tc>
        <w:tc>
          <w:tcPr>
            <w:tcW w:type="dxa" w:w="16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GSC / Screaming Frog</w:t>
            </w:r>
          </w:p>
        </w:tc>
        <w:tc>
          <w:tcPr>
            <w:tcW w:type="dxa" w:w="50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Is this page even being seen?</w:t>
            </w:r>
          </w:p>
        </w:tc>
      </w:tr>
    </w:tbl>
    <w:p>
      <w:pPr>
        <w:spacing w:after="26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PHASE 3 — SCORE YOUR CONTENT</w:t>
      </w:r>
    </w:p>
    <w:p>
      <w:pPr>
        <w:spacing w:after="80" w:before="220"/>
      </w:pPr>
      <w:r>
        <w:rPr>
          <w:rFonts w:ascii="Arial" w:cs="Arial" w:eastAsia="Arial" w:hAnsi="Arial"/>
          <w:b/>
          <w:bCs/>
          <w:color w:val="2A8C8C"/>
          <w:sz w:val="24"/>
          <w:szCs w:val="24"/>
        </w:rPr>
        <w:t xml:space="preserve">3.1  The Content Health Score</w:t>
      </w:r>
    </w:p>
    <w:p>
      <w:pPr>
        <w:spacing w:after="160" w:before="0"/>
        <w:jc w:val="left"/>
      </w:pPr>
      <w:r>
        <w:rPr>
          <w:rFonts w:ascii="Arial" w:cs="Arial" w:eastAsia="Arial" w:hAnsi="Arial"/>
          <w:b w:val="false"/>
          <w:bCs w:val="false"/>
          <w:i w:val="false"/>
          <w:iCs w:val="false"/>
          <w:color w:val="555555"/>
          <w:sz w:val="20"/>
          <w:szCs w:val="20"/>
        </w:rPr>
        <w:t xml:space="preserve">Score each piece of content across four dimensions. Total out of 20. This gives you an objective basis for prioritising action — and a number to put in front of stakeholders who need to see the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Score honestly. A '5 out of 5' for traffic means nothing if the page converts nobody. The score is a starting point for decision-making, not a final verdict.</w:t>
            </w:r>
          </w:p>
        </w:tc>
      </w:tr>
    </w:tbl>
    <w:p>
      <w:pPr>
        <w:spacing w:after="1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1000"/>
        <w:gridCol w:w="2120"/>
        <w:gridCol w:w="2120"/>
        <w:gridCol w:w="2120"/>
      </w:tblGrid>
      <w:tr>
        <w:tc>
          <w:tcPr>
            <w:tcW w:type="dxa" w:w="20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Dimension</w:t>
            </w:r>
          </w:p>
        </w:tc>
        <w:tc>
          <w:tcPr>
            <w:tcW w:type="dxa" w:w="1000"/>
            <w:tcBorders>
              <w:top w:val="single" w:color="2A8C8C" w:sz="4"/>
              <w:left w:val="single" w:color="2A8C8C" w:sz="4"/>
              <w:bottom w:val="single" w:color="2A8C8C" w:sz="4"/>
              <w:right w:val="single" w:color="2A8C8C" w:sz="4"/>
            </w:tcBorders>
            <w:shd w:fill="2A8C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Max Score</w:t>
            </w:r>
          </w:p>
        </w:tc>
        <w:tc>
          <w:tcPr>
            <w:tcW w:type="dxa" w:w="2120"/>
            <w:tcBorders>
              <w:top w:val="single" w:color="8A4A3A" w:sz="4"/>
              <w:left w:val="single" w:color="8A4A3A" w:sz="4"/>
              <w:bottom w:val="single" w:color="8A4A3A" w:sz="4"/>
              <w:right w:val="single" w:color="8A4A3A" w:sz="4"/>
            </w:tcBorders>
            <w:shd w:fill="8A4A3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1–2  (Weak)</w:t>
            </w:r>
          </w:p>
        </w:tc>
        <w:tc>
          <w:tcPr>
            <w:tcW w:type="dxa" w:w="2120"/>
            <w:tcBorders>
              <w:top w:val="single" w:color="7A6A2A" w:sz="4"/>
              <w:left w:val="single" w:color="7A6A2A" w:sz="4"/>
              <w:bottom w:val="single" w:color="7A6A2A" w:sz="4"/>
              <w:right w:val="single" w:color="7A6A2A" w:sz="4"/>
            </w:tcBorders>
            <w:shd w:fill="7A6A2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3–4  (Moderate)</w:t>
            </w:r>
          </w:p>
        </w:tc>
        <w:tc>
          <w:tcPr>
            <w:tcW w:type="dxa" w:w="2120"/>
            <w:tcBorders>
              <w:top w:val="single" w:color="2A7A4A" w:sz="4"/>
              <w:left w:val="single" w:color="2A7A4A" w:sz="4"/>
              <w:bottom w:val="single" w:color="2A7A4A" w:sz="4"/>
              <w:right w:val="single" w:color="2A7A4A" w:sz="4"/>
            </w:tcBorders>
            <w:shd w:fill="2A7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5  (Strong)</w:t>
            </w:r>
          </w:p>
        </w:tc>
      </w:tr>
      <w:tr>
        <w:tc>
          <w:tcPr>
            <w:tcW w:type="dxa" w:w="20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Traffic</w:t>
            </w:r>
          </w:p>
        </w:tc>
        <w:tc>
          <w:tcPr>
            <w:tcW w:type="dxa" w:w="10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5</w:t>
            </w:r>
          </w:p>
        </w:tc>
        <w:tc>
          <w:tcPr>
            <w:tcW w:type="dxa" w:w="21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Fewer than 50 sessions/month. Barely visible.</w:t>
            </w:r>
          </w:p>
        </w:tc>
        <w:tc>
          <w:tcPr>
            <w:tcW w:type="dxa" w:w="21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50–300 sessions/month. Exists but underperforms.</w:t>
            </w:r>
          </w:p>
        </w:tc>
        <w:tc>
          <w:tcPr>
            <w:tcW w:type="dxa" w:w="21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300+ sessions/month. Consistently draws organic traffic.</w:t>
            </w:r>
          </w:p>
        </w:tc>
      </w:tr>
      <w:tr>
        <w:tc>
          <w:tcPr>
            <w:tcW w:type="dxa" w:w="20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Engagement</w:t>
            </w:r>
          </w:p>
        </w:tc>
        <w:tc>
          <w:tcPr>
            <w:tcW w:type="dxa" w:w="10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5</w:t>
            </w:r>
          </w:p>
        </w:tc>
        <w:tc>
          <w:tcPr>
            <w:tcW w:type="dxa" w:w="21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High bounce, low time on page. Readers leave fast.</w:t>
            </w:r>
          </w:p>
        </w:tc>
        <w:tc>
          <w:tcPr>
            <w:tcW w:type="dxa" w:w="21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Moderate engagement — some readers stay, most don't.</w:t>
            </w:r>
          </w:p>
        </w:tc>
        <w:tc>
          <w:tcPr>
            <w:tcW w:type="dxa" w:w="21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Strong engagement rate, 2+ mins avg. time on page.</w:t>
            </w:r>
          </w:p>
        </w:tc>
      </w:tr>
      <w:tr>
        <w:tc>
          <w:tcPr>
            <w:tcW w:type="dxa" w:w="20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Conversion</w:t>
            </w:r>
          </w:p>
        </w:tc>
        <w:tc>
          <w:tcPr>
            <w:tcW w:type="dxa" w:w="10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5</w:t>
            </w:r>
          </w:p>
        </w:tc>
        <w:tc>
          <w:tcPr>
            <w:tcW w:type="dxa" w:w="21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No CTA or CTA present but zero conversion. Dead end.</w:t>
            </w:r>
          </w:p>
        </w:tc>
        <w:tc>
          <w:tcPr>
            <w:tcW w:type="dxa" w:w="21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Some conversions but rate below 1%. Underperforming.</w:t>
            </w:r>
          </w:p>
        </w:tc>
        <w:tc>
          <w:tcPr>
            <w:tcW w:type="dxa" w:w="21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Converts at 2%+ or drives measurable pipeline action.</w:t>
            </w:r>
          </w:p>
        </w:tc>
      </w:tr>
      <w:tr>
        <w:tc>
          <w:tcPr>
            <w:tcW w:type="dxa" w:w="20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SEO Health</w:t>
            </w:r>
          </w:p>
        </w:tc>
        <w:tc>
          <w:tcPr>
            <w:tcW w:type="dxa" w:w="10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5</w:t>
            </w:r>
          </w:p>
        </w:tc>
        <w:tc>
          <w:tcPr>
            <w:tcW w:type="dxa" w:w="21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Not ranking. Poor keyword alignment. Thin or duplicate.</w:t>
            </w:r>
          </w:p>
        </w:tc>
        <w:tc>
          <w:tcPr>
            <w:tcW w:type="dxa" w:w="21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Ranks but outside top 20. Keyword gap or low impressions.</w:t>
            </w:r>
          </w:p>
        </w:tc>
        <w:tc>
          <w:tcPr>
            <w:tcW w:type="dxa" w:w="21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Ranks in top 10 for target keyword. Good impressions + CTR.</w:t>
            </w:r>
          </w:p>
        </w:tc>
      </w:tr>
    </w:tbl>
    <w:p>
      <w:pPr>
        <w:spacing w:after="200" w:before="0"/>
      </w:pPr>
      <w:r>
        <w:rPr>
          <w:sz w:val="4"/>
          <w:szCs w:val="4"/>
        </w:rPr>
        <w:t xml:space="preserve"> </w:t>
      </w:r>
    </w:p>
    <w:p>
      <w:pPr>
        <w:spacing w:after="80" w:before="220"/>
      </w:pPr>
      <w:r>
        <w:rPr>
          <w:rFonts w:ascii="Arial" w:cs="Arial" w:eastAsia="Arial" w:hAnsi="Arial"/>
          <w:b/>
          <w:bCs/>
          <w:color w:val="2A8C8C"/>
          <w:sz w:val="24"/>
          <w:szCs w:val="24"/>
        </w:rPr>
        <w:t xml:space="preserve">3.2  Score Interpretation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5760"/>
      </w:tblGrid>
      <w:tr>
        <w:tc>
          <w:tcPr>
            <w:tcW w:type="dxa" w:w="16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Score</w:t>
            </w:r>
          </w:p>
        </w:tc>
        <w:tc>
          <w:tcPr>
            <w:tcW w:type="dxa" w:w="20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Band</w:t>
            </w:r>
          </w:p>
        </w:tc>
        <w:tc>
          <w:tcPr>
            <w:tcW w:type="dxa" w:w="576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What It Means</w:t>
            </w:r>
          </w:p>
        </w:tc>
      </w:tr>
      <w:tr>
        <w:tc>
          <w:tcPr>
            <w:tcW w:type="dxa" w:w="1600"/>
            <w:tcBorders>
              <w:top w:val="single" w:color="D5CFC6" w:sz="4"/>
              <w:left w:val="single" w:color="D5CFC6" w:sz="4"/>
              <w:bottom w:val="single" w:color="D5CFC6" w:sz="4"/>
              <w:right w:val="single" w:color="D5CFC6" w:sz="4"/>
            </w:tcBorders>
            <w:shd w:fill="E8F5EA" w:val="clear"/>
            <w:tcMar>
              <w:top w:type="dxa" w:w="90"/>
              <w:left w:type="dxa" w:w="140"/>
              <w:bottom w:type="dxa" w:w="90"/>
              <w:right w:type="dxa" w:w="140"/>
            </w:tcMar>
          </w:tcPr>
          <w:p>
            <w:r>
              <w:rPr>
                <w:rFonts w:ascii="Arial" w:cs="Arial" w:eastAsia="Arial" w:hAnsi="Arial"/>
                <w:b/>
                <w:bCs/>
                <w:color w:val="1B2A4A"/>
                <w:sz w:val="19"/>
                <w:szCs w:val="19"/>
              </w:rPr>
              <w:t xml:space="preserve">17–20</w:t>
            </w:r>
          </w:p>
        </w:tc>
        <w:tc>
          <w:tcPr>
            <w:tcW w:type="dxa" w:w="2000"/>
            <w:tcBorders>
              <w:top w:val="single" w:color="D5CFC6" w:sz="4"/>
              <w:left w:val="single" w:color="D5CFC6" w:sz="4"/>
              <w:bottom w:val="single" w:color="D5CFC6" w:sz="4"/>
              <w:right w:val="single" w:color="D5CFC6" w:sz="4"/>
            </w:tcBorders>
            <w:shd w:fill="E8F5EA" w:val="clear"/>
            <w:tcMar>
              <w:top w:type="dxa" w:w="90"/>
              <w:left w:type="dxa" w:w="140"/>
              <w:bottom w:type="dxa" w:w="90"/>
              <w:right w:type="dxa" w:w="140"/>
            </w:tcMar>
          </w:tcPr>
          <w:p>
            <w:r>
              <w:rPr>
                <w:rFonts w:ascii="Arial" w:cs="Arial" w:eastAsia="Arial" w:hAnsi="Arial"/>
                <w:i w:val="false"/>
                <w:iCs w:val="false"/>
                <w:color w:val="555555"/>
                <w:sz w:val="19"/>
                <w:szCs w:val="19"/>
              </w:rPr>
              <w:t xml:space="preserve">🟢 Keep &amp; Protect</w:t>
            </w:r>
          </w:p>
        </w:tc>
        <w:tc>
          <w:tcPr>
            <w:tcW w:type="dxa" w:w="5760"/>
            <w:tcBorders>
              <w:top w:val="single" w:color="D5CFC6" w:sz="4"/>
              <w:left w:val="single" w:color="D5CFC6" w:sz="4"/>
              <w:bottom w:val="single" w:color="D5CFC6" w:sz="4"/>
              <w:right w:val="single" w:color="D5CFC6" w:sz="4"/>
            </w:tcBorders>
            <w:shd w:fill="E8F5EA" w:val="clear"/>
            <w:tcMar>
              <w:top w:type="dxa" w:w="90"/>
              <w:left w:type="dxa" w:w="140"/>
              <w:bottom w:type="dxa" w:w="90"/>
              <w:right w:type="dxa" w:w="140"/>
            </w:tcMar>
          </w:tcPr>
          <w:p>
            <w:r>
              <w:rPr>
                <w:rFonts w:ascii="Arial" w:cs="Arial" w:eastAsia="Arial" w:hAnsi="Arial"/>
                <w:i w:val="false"/>
                <w:iCs w:val="false"/>
                <w:color w:val="555555"/>
                <w:sz w:val="19"/>
                <w:szCs w:val="19"/>
              </w:rPr>
              <w:t xml:space="preserve">High-performing. Protect it — don't tinker with what's working. Schedule a light refresh in 6–12 months.</w:t>
            </w:r>
          </w:p>
        </w:tc>
      </w:tr>
      <w:tr>
        <w:tc>
          <w:tcPr>
            <w:tcW w:type="dxa" w:w="1600"/>
            <w:tcBorders>
              <w:top w:val="single" w:color="D5CFC6" w:sz="4"/>
              <w:left w:val="single" w:color="D5CFC6" w:sz="4"/>
              <w:bottom w:val="single" w:color="D5CFC6" w:sz="4"/>
              <w:right w:val="single" w:color="D5CFC6" w:sz="4"/>
            </w:tcBorders>
            <w:shd w:fill="FFF8E0" w:val="clear"/>
            <w:tcMar>
              <w:top w:type="dxa" w:w="90"/>
              <w:left w:type="dxa" w:w="140"/>
              <w:bottom w:type="dxa" w:w="90"/>
              <w:right w:type="dxa" w:w="140"/>
            </w:tcMar>
          </w:tcPr>
          <w:p>
            <w:r>
              <w:rPr>
                <w:rFonts w:ascii="Arial" w:cs="Arial" w:eastAsia="Arial" w:hAnsi="Arial"/>
                <w:b/>
                <w:bCs/>
                <w:color w:val="1B2A4A"/>
                <w:sz w:val="19"/>
                <w:szCs w:val="19"/>
              </w:rPr>
              <w:t xml:space="preserve">12–16</w:t>
            </w:r>
          </w:p>
        </w:tc>
        <w:tc>
          <w:tcPr>
            <w:tcW w:type="dxa" w:w="2000"/>
            <w:tcBorders>
              <w:top w:val="single" w:color="D5CFC6" w:sz="4"/>
              <w:left w:val="single" w:color="D5CFC6" w:sz="4"/>
              <w:bottom w:val="single" w:color="D5CFC6" w:sz="4"/>
              <w:right w:val="single" w:color="D5CFC6" w:sz="4"/>
            </w:tcBorders>
            <w:shd w:fill="FFF8E0" w:val="clear"/>
            <w:tcMar>
              <w:top w:type="dxa" w:w="90"/>
              <w:left w:type="dxa" w:w="140"/>
              <w:bottom w:type="dxa" w:w="90"/>
              <w:right w:type="dxa" w:w="140"/>
            </w:tcMar>
          </w:tcPr>
          <w:p>
            <w:r>
              <w:rPr>
                <w:rFonts w:ascii="Arial" w:cs="Arial" w:eastAsia="Arial" w:hAnsi="Arial"/>
                <w:i w:val="false"/>
                <w:iCs w:val="false"/>
                <w:color w:val="555555"/>
                <w:sz w:val="19"/>
                <w:szCs w:val="19"/>
              </w:rPr>
              <w:t xml:space="preserve">🟡 Optimise</w:t>
            </w:r>
          </w:p>
        </w:tc>
        <w:tc>
          <w:tcPr>
            <w:tcW w:type="dxa" w:w="5760"/>
            <w:tcBorders>
              <w:top w:val="single" w:color="D5CFC6" w:sz="4"/>
              <w:left w:val="single" w:color="D5CFC6" w:sz="4"/>
              <w:bottom w:val="single" w:color="D5CFC6" w:sz="4"/>
              <w:right w:val="single" w:color="D5CFC6" w:sz="4"/>
            </w:tcBorders>
            <w:shd w:fill="FFF8E0" w:val="clear"/>
            <w:tcMar>
              <w:top w:type="dxa" w:w="90"/>
              <w:left w:type="dxa" w:w="140"/>
              <w:bottom w:type="dxa" w:w="90"/>
              <w:right w:type="dxa" w:w="140"/>
            </w:tcMar>
          </w:tcPr>
          <w:p>
            <w:r>
              <w:rPr>
                <w:rFonts w:ascii="Arial" w:cs="Arial" w:eastAsia="Arial" w:hAnsi="Arial"/>
                <w:i w:val="false"/>
                <w:iCs w:val="false"/>
                <w:color w:val="555555"/>
                <w:sz w:val="19"/>
                <w:szCs w:val="19"/>
              </w:rPr>
              <w:t xml:space="preserve">Showing promise but not at full potential. Identify which dimension is dragging the score and target that specifically.</w:t>
            </w:r>
          </w:p>
        </w:tc>
      </w:tr>
      <w:tr>
        <w:tc>
          <w:tcPr>
            <w:tcW w:type="dxa" w:w="1600"/>
            <w:tcBorders>
              <w:top w:val="single" w:color="D5CFC6" w:sz="4"/>
              <w:left w:val="single" w:color="D5CFC6" w:sz="4"/>
              <w:bottom w:val="single" w:color="D5CFC6" w:sz="4"/>
              <w:right w:val="single" w:color="D5CFC6" w:sz="4"/>
            </w:tcBorders>
            <w:shd w:fill="FFF0E0" w:val="clear"/>
            <w:tcMar>
              <w:top w:type="dxa" w:w="90"/>
              <w:left w:type="dxa" w:w="140"/>
              <w:bottom w:type="dxa" w:w="90"/>
              <w:right w:type="dxa" w:w="140"/>
            </w:tcMar>
          </w:tcPr>
          <w:p>
            <w:r>
              <w:rPr>
                <w:rFonts w:ascii="Arial" w:cs="Arial" w:eastAsia="Arial" w:hAnsi="Arial"/>
                <w:b/>
                <w:bCs/>
                <w:color w:val="1B2A4A"/>
                <w:sz w:val="19"/>
                <w:szCs w:val="19"/>
              </w:rPr>
              <w:t xml:space="preserve">7–11</w:t>
            </w:r>
          </w:p>
        </w:tc>
        <w:tc>
          <w:tcPr>
            <w:tcW w:type="dxa" w:w="2000"/>
            <w:tcBorders>
              <w:top w:val="single" w:color="D5CFC6" w:sz="4"/>
              <w:left w:val="single" w:color="D5CFC6" w:sz="4"/>
              <w:bottom w:val="single" w:color="D5CFC6" w:sz="4"/>
              <w:right w:val="single" w:color="D5CFC6" w:sz="4"/>
            </w:tcBorders>
            <w:shd w:fill="FFF0E0" w:val="clear"/>
            <w:tcMar>
              <w:top w:type="dxa" w:w="90"/>
              <w:left w:type="dxa" w:w="140"/>
              <w:bottom w:type="dxa" w:w="90"/>
              <w:right w:type="dxa" w:w="140"/>
            </w:tcMar>
          </w:tcPr>
          <w:p>
            <w:r>
              <w:rPr>
                <w:rFonts w:ascii="Arial" w:cs="Arial" w:eastAsia="Arial" w:hAnsi="Arial"/>
                <w:i w:val="false"/>
                <w:iCs w:val="false"/>
                <w:color w:val="555555"/>
                <w:sz w:val="19"/>
                <w:szCs w:val="19"/>
              </w:rPr>
              <w:t xml:space="preserve">🟠 Consolidate or Rewrite</w:t>
            </w:r>
          </w:p>
        </w:tc>
        <w:tc>
          <w:tcPr>
            <w:tcW w:type="dxa" w:w="5760"/>
            <w:tcBorders>
              <w:top w:val="single" w:color="D5CFC6" w:sz="4"/>
              <w:left w:val="single" w:color="D5CFC6" w:sz="4"/>
              <w:bottom w:val="single" w:color="D5CFC6" w:sz="4"/>
              <w:right w:val="single" w:color="D5CFC6" w:sz="4"/>
            </w:tcBorders>
            <w:shd w:fill="FFF0E0" w:val="clear"/>
            <w:tcMar>
              <w:top w:type="dxa" w:w="90"/>
              <w:left w:type="dxa" w:w="140"/>
              <w:bottom w:type="dxa" w:w="90"/>
              <w:right w:type="dxa" w:w="140"/>
            </w:tcMar>
          </w:tcPr>
          <w:p>
            <w:r>
              <w:rPr>
                <w:rFonts w:ascii="Arial" w:cs="Arial" w:eastAsia="Arial" w:hAnsi="Arial"/>
                <w:i w:val="false"/>
                <w:iCs w:val="false"/>
                <w:color w:val="555555"/>
                <w:sz w:val="19"/>
                <w:szCs w:val="19"/>
              </w:rPr>
              <w:t xml:space="preserve">Content exists but isn't earning. Assess whether a rewrite would save it or whether it should be merged with a stronger piece.</w:t>
            </w:r>
          </w:p>
        </w:tc>
      </w:tr>
      <w:tr>
        <w:tc>
          <w:tcPr>
            <w:tcW w:type="dxa" w:w="1600"/>
            <w:tcBorders>
              <w:top w:val="single" w:color="D5CFC6" w:sz="4"/>
              <w:left w:val="single" w:color="D5CFC6" w:sz="4"/>
              <w:bottom w:val="single" w:color="D5CFC6" w:sz="4"/>
              <w:right w:val="single" w:color="D5CFC6" w:sz="4"/>
            </w:tcBorders>
            <w:shd w:fill="FDECEA" w:val="clear"/>
            <w:tcMar>
              <w:top w:type="dxa" w:w="90"/>
              <w:left w:type="dxa" w:w="140"/>
              <w:bottom w:type="dxa" w:w="90"/>
              <w:right w:type="dxa" w:w="140"/>
            </w:tcMar>
          </w:tcPr>
          <w:p>
            <w:r>
              <w:rPr>
                <w:rFonts w:ascii="Arial" w:cs="Arial" w:eastAsia="Arial" w:hAnsi="Arial"/>
                <w:b/>
                <w:bCs/>
                <w:color w:val="1B2A4A"/>
                <w:sz w:val="19"/>
                <w:szCs w:val="19"/>
              </w:rPr>
              <w:t xml:space="preserve">1–6</w:t>
            </w:r>
          </w:p>
        </w:tc>
        <w:tc>
          <w:tcPr>
            <w:tcW w:type="dxa" w:w="2000"/>
            <w:tcBorders>
              <w:top w:val="single" w:color="D5CFC6" w:sz="4"/>
              <w:left w:val="single" w:color="D5CFC6" w:sz="4"/>
              <w:bottom w:val="single" w:color="D5CFC6" w:sz="4"/>
              <w:right w:val="single" w:color="D5CFC6" w:sz="4"/>
            </w:tcBorders>
            <w:shd w:fill="FDECEA" w:val="clear"/>
            <w:tcMar>
              <w:top w:type="dxa" w:w="90"/>
              <w:left w:type="dxa" w:w="140"/>
              <w:bottom w:type="dxa" w:w="90"/>
              <w:right w:type="dxa" w:w="140"/>
            </w:tcMar>
          </w:tcPr>
          <w:p>
            <w:r>
              <w:rPr>
                <w:rFonts w:ascii="Arial" w:cs="Arial" w:eastAsia="Arial" w:hAnsi="Arial"/>
                <w:i w:val="false"/>
                <w:iCs w:val="false"/>
                <w:color w:val="555555"/>
                <w:sz w:val="19"/>
                <w:szCs w:val="19"/>
              </w:rPr>
              <w:t xml:space="preserve">🔴 Remove or Redirect</w:t>
            </w:r>
          </w:p>
        </w:tc>
        <w:tc>
          <w:tcPr>
            <w:tcW w:type="dxa" w:w="5760"/>
            <w:tcBorders>
              <w:top w:val="single" w:color="D5CFC6" w:sz="4"/>
              <w:left w:val="single" w:color="D5CFC6" w:sz="4"/>
              <w:bottom w:val="single" w:color="D5CFC6" w:sz="4"/>
              <w:right w:val="single" w:color="D5CFC6" w:sz="4"/>
            </w:tcBorders>
            <w:shd w:fill="FDECEA" w:val="clear"/>
            <w:tcMar>
              <w:top w:type="dxa" w:w="90"/>
              <w:left w:type="dxa" w:w="140"/>
              <w:bottom w:type="dxa" w:w="90"/>
              <w:right w:type="dxa" w:w="140"/>
            </w:tcMar>
          </w:tcPr>
          <w:p>
            <w:r>
              <w:rPr>
                <w:rFonts w:ascii="Arial" w:cs="Arial" w:eastAsia="Arial" w:hAnsi="Arial"/>
                <w:i w:val="false"/>
                <w:iCs w:val="false"/>
                <w:color w:val="555555"/>
                <w:sz w:val="19"/>
                <w:szCs w:val="19"/>
              </w:rPr>
              <w:t xml:space="preserve">Not visible, not converting, not engaging. If there's nothing to save, remove it and redirect to the closest relevant URL.</w:t>
            </w:r>
          </w:p>
        </w:tc>
      </w:tr>
    </w:tbl>
    <w:p>
      <w:pPr>
        <w:spacing w:after="26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PHASE 4 — MAKE THE CALL</w:t>
      </w:r>
    </w:p>
    <w:p>
      <w:pPr>
        <w:spacing w:after="80" w:before="220"/>
      </w:pPr>
      <w:r>
        <w:rPr>
          <w:rFonts w:ascii="Arial" w:cs="Arial" w:eastAsia="Arial" w:hAnsi="Arial"/>
          <w:b/>
          <w:bCs/>
          <w:color w:val="2A8C8C"/>
          <w:sz w:val="24"/>
          <w:szCs w:val="24"/>
        </w:rPr>
        <w:t xml:space="preserve">4.1  The Decision Framework</w:t>
      </w:r>
    </w:p>
    <w:p>
      <w:pPr>
        <w:spacing w:after="140" w:before="0"/>
        <w:jc w:val="left"/>
      </w:pPr>
      <w:r>
        <w:rPr>
          <w:rFonts w:ascii="Arial" w:cs="Arial" w:eastAsia="Arial" w:hAnsi="Arial"/>
          <w:b w:val="false"/>
          <w:bCs w:val="false"/>
          <w:i w:val="false"/>
          <w:iCs w:val="false"/>
          <w:color w:val="555555"/>
          <w:sz w:val="20"/>
          <w:szCs w:val="20"/>
        </w:rPr>
        <w:t xml:space="preserve">Every piece of content gets one of five actions. Apply them based on score, strategic fit, and resource cost. Not every low-scoring piece gets deleted — and not every high-scoring piece should be left alone.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4560"/>
        <w:gridCol w:w="3400"/>
      </w:tblGrid>
      <w:tr>
        <w:tc>
          <w:tcPr>
            <w:tcW w:type="dxa" w:w="14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Action</w:t>
            </w:r>
          </w:p>
        </w:tc>
        <w:tc>
          <w:tcPr>
            <w:tcW w:type="dxa" w:w="456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When to Apply It</w:t>
            </w:r>
          </w:p>
        </w:tc>
        <w:tc>
          <w:tcPr>
            <w:tcW w:type="dxa" w:w="34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What It Involves</w:t>
            </w:r>
          </w:p>
        </w:tc>
      </w:tr>
      <w:tr>
        <w:tc>
          <w:tcPr>
            <w:tcW w:type="dxa" w:w="1400"/>
            <w:tcBorders>
              <w:top w:val="none" w:color="FFFFFF" w:sz="0"/>
              <w:left w:val="none" w:color="FFFFFF" w:sz="0"/>
              <w:bottom w:val="none" w:color="FFFFFF" w:sz="0"/>
              <w:right w:val="none" w:color="FFFFFF" w:sz="0"/>
            </w:tcBorders>
            <w:shd w:fill="2A7A4A" w:val="clear"/>
            <w:tcMar>
              <w:top w:type="dxa" w:w="100"/>
              <w:left w:type="dxa" w:w="120"/>
              <w:bottom w:type="dxa" w:w="100"/>
              <w:right w:type="dxa" w:w="120"/>
            </w:tcMar>
            <w:vAlign w:val="center"/>
          </w:tcPr>
          <w:p>
            <w:pPr>
              <w:jc w:val="center"/>
            </w:pPr>
            <w:r>
              <w:rPr>
                <w:rFonts w:ascii="Arial" w:cs="Arial" w:eastAsia="Arial" w:hAnsi="Arial"/>
                <w:b/>
                <w:bCs/>
                <w:color w:val="FFFFFF"/>
                <w:sz w:val="19"/>
                <w:szCs w:val="19"/>
              </w:rPr>
              <w:t xml:space="preserve">✅  KEEP</w:t>
            </w:r>
          </w:p>
        </w:tc>
        <w:tc>
          <w:tcPr>
            <w:tcW w:type="dxa" w:w="45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Score 17–20. Performing well across all dimensions. No material gaps.</w:t>
            </w:r>
          </w:p>
        </w:tc>
        <w:tc>
          <w:tcPr>
            <w:tcW w:type="dxa" w:w="3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Maintain publishing cadence. Schedule a refresh in 6–12 months. Protect internal links.</w:t>
            </w:r>
          </w:p>
        </w:tc>
      </w:tr>
      <w:tr>
        <w:tc>
          <w:tcPr>
            <w:tcW w:type="dxa" w:w="1400"/>
            <w:tcBorders>
              <w:top w:val="none" w:color="FFFFFF" w:sz="0"/>
              <w:left w:val="none" w:color="FFFFFF" w:sz="0"/>
              <w:bottom w:val="none" w:color="FFFFFF" w:sz="0"/>
              <w:right w:val="none" w:color="FFFFFF" w:sz="0"/>
            </w:tcBorders>
            <w:shd w:fill="2A8C8C" w:val="clear"/>
            <w:tcMar>
              <w:top w:type="dxa" w:w="100"/>
              <w:left w:type="dxa" w:w="120"/>
              <w:bottom w:type="dxa" w:w="100"/>
              <w:right w:type="dxa" w:w="120"/>
            </w:tcMar>
            <w:vAlign w:val="center"/>
          </w:tcPr>
          <w:p>
            <w:pPr>
              <w:jc w:val="center"/>
            </w:pPr>
            <w:r>
              <w:rPr>
                <w:rFonts w:ascii="Arial" w:cs="Arial" w:eastAsia="Arial" w:hAnsi="Arial"/>
                <w:b/>
                <w:bCs/>
                <w:color w:val="FFFFFF"/>
                <w:sz w:val="19"/>
                <w:szCs w:val="19"/>
              </w:rPr>
              <w:t xml:space="preserve">✏️  OPTIMISE</w:t>
            </w:r>
          </w:p>
        </w:tc>
        <w:tc>
          <w:tcPr>
            <w:tcW w:type="dxa" w:w="45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Score 12–16. Good bones but one or two dimensions underperforming.</w:t>
            </w:r>
          </w:p>
        </w:tc>
        <w:tc>
          <w:tcPr>
            <w:tcW w:type="dxa" w:w="3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Update for SEO, add/fix CTA, improve internal linking, refresh data, sharpen intro.</w:t>
            </w:r>
          </w:p>
        </w:tc>
      </w:tr>
      <w:tr>
        <w:tc>
          <w:tcPr>
            <w:tcW w:type="dxa" w:w="1400"/>
            <w:tcBorders>
              <w:top w:val="none" w:color="FFFFFF" w:sz="0"/>
              <w:left w:val="none" w:color="FFFFFF" w:sz="0"/>
              <w:bottom w:val="none" w:color="FFFFFF" w:sz="0"/>
              <w:right w:val="none" w:color="FFFFFF" w:sz="0"/>
            </w:tcBorders>
            <w:shd w:fill="7A6A2A" w:val="clear"/>
            <w:tcMar>
              <w:top w:type="dxa" w:w="100"/>
              <w:left w:type="dxa" w:w="120"/>
              <w:bottom w:type="dxa" w:w="100"/>
              <w:right w:type="dxa" w:w="120"/>
            </w:tcMar>
            <w:vAlign w:val="center"/>
          </w:tcPr>
          <w:p>
            <w:pPr>
              <w:jc w:val="center"/>
            </w:pPr>
            <w:r>
              <w:rPr>
                <w:rFonts w:ascii="Arial" w:cs="Arial" w:eastAsia="Arial" w:hAnsi="Arial"/>
                <w:b/>
                <w:bCs/>
                <w:color w:val="FFFFFF"/>
                <w:sz w:val="19"/>
                <w:szCs w:val="19"/>
              </w:rPr>
              <w:t xml:space="preserve">🔀  MERGE</w:t>
            </w:r>
          </w:p>
        </w:tc>
        <w:tc>
          <w:tcPr>
            <w:tcW w:type="dxa" w:w="45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Multiple pieces covering the same topic without clear differentiation. Cannibalisation risk.</w:t>
            </w:r>
          </w:p>
        </w:tc>
        <w:tc>
          <w:tcPr>
            <w:tcW w:type="dxa" w:w="3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Choose the canonical URL. Absorb the best content from others. 301 redirect the rest.</w:t>
            </w:r>
          </w:p>
        </w:tc>
      </w:tr>
      <w:tr>
        <w:tc>
          <w:tcPr>
            <w:tcW w:type="dxa" w:w="1400"/>
            <w:tcBorders>
              <w:top w:val="none" w:color="FFFFFF" w:sz="0"/>
              <w:left w:val="none" w:color="FFFFFF" w:sz="0"/>
              <w:bottom w:val="none" w:color="FFFFFF" w:sz="0"/>
              <w:right w:val="none" w:color="FFFFFF" w:sz="0"/>
            </w:tcBorders>
            <w:shd w:fill="C1674A" w:val="clear"/>
            <w:tcMar>
              <w:top w:type="dxa" w:w="100"/>
              <w:left w:type="dxa" w:w="120"/>
              <w:bottom w:type="dxa" w:w="100"/>
              <w:right w:type="dxa" w:w="120"/>
            </w:tcMar>
            <w:vAlign w:val="center"/>
          </w:tcPr>
          <w:p>
            <w:pPr>
              <w:jc w:val="center"/>
            </w:pPr>
            <w:r>
              <w:rPr>
                <w:rFonts w:ascii="Arial" w:cs="Arial" w:eastAsia="Arial" w:hAnsi="Arial"/>
                <w:b/>
                <w:bCs/>
                <w:color w:val="FFFFFF"/>
                <w:sz w:val="19"/>
                <w:szCs w:val="19"/>
              </w:rPr>
              <w:t xml:space="preserve">🔁  REWRITE</w:t>
            </w:r>
          </w:p>
        </w:tc>
        <w:tc>
          <w:tcPr>
            <w:tcW w:type="dxa" w:w="45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Score 7–11. Topic still relevant but execution is the problem. Not worth optimising line-by-line.</w:t>
            </w:r>
          </w:p>
        </w:tc>
        <w:tc>
          <w:tcPr>
            <w:tcW w:type="dxa" w:w="3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Treat as a new brief. Preserve the URL if it has backlinks. Rewrite from scratch.</w:t>
            </w:r>
          </w:p>
        </w:tc>
      </w:tr>
      <w:tr>
        <w:tc>
          <w:tcPr>
            <w:tcW w:type="dxa" w:w="1400"/>
            <w:tcBorders>
              <w:top w:val="none" w:color="FFFFFF" w:sz="0"/>
              <w:left w:val="none" w:color="FFFFFF" w:sz="0"/>
              <w:bottom w:val="none" w:color="FFFFFF" w:sz="0"/>
              <w:right w:val="none" w:color="FFFFFF" w:sz="0"/>
            </w:tcBorders>
            <w:shd w:fill="8A4A3A" w:val="clear"/>
            <w:tcMar>
              <w:top w:type="dxa" w:w="100"/>
              <w:left w:type="dxa" w:w="120"/>
              <w:bottom w:type="dxa" w:w="100"/>
              <w:right w:type="dxa" w:w="120"/>
            </w:tcMar>
            <w:vAlign w:val="center"/>
          </w:tcPr>
          <w:p>
            <w:pPr>
              <w:jc w:val="center"/>
            </w:pPr>
            <w:r>
              <w:rPr>
                <w:rFonts w:ascii="Arial" w:cs="Arial" w:eastAsia="Arial" w:hAnsi="Arial"/>
                <w:b/>
                <w:bCs/>
                <w:color w:val="FFFFFF"/>
                <w:sz w:val="19"/>
                <w:szCs w:val="19"/>
              </w:rPr>
              <w:t xml:space="preserve">🗑️  REMOVE</w:t>
            </w:r>
          </w:p>
        </w:tc>
        <w:tc>
          <w:tcPr>
            <w:tcW w:type="dxa" w:w="45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Score 1–6. Outdated, off-topic, thin, or duplicated with no unique value. No backlinks worth keeping.</w:t>
            </w:r>
          </w:p>
        </w:tc>
        <w:tc>
          <w:tcPr>
            <w:tcW w:type="dxa" w:w="3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Delete. Set up 301 redirect to closest relevant page. Update internal links that pointed here.</w:t>
            </w:r>
          </w:p>
        </w:tc>
      </w:tr>
    </w:tbl>
    <w:p>
      <w:pPr>
        <w:spacing w:after="20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'Merge' is the most underused action in most content audits. If you have 12 blog posts about the same topic cluster, you probably have two good ones and ten that are splitting your authority. Consolidate.</w:t>
            </w:r>
          </w:p>
        </w:tc>
      </w:tr>
    </w:tbl>
    <w:p>
      <w:pPr>
        <w:spacing w:after="220" w:before="0"/>
      </w:pPr>
      <w:r>
        <w:rPr>
          <w:sz w:val="4"/>
          <w:szCs w:val="4"/>
        </w:rPr>
        <w:t xml:space="preserve"> </w:t>
      </w:r>
    </w:p>
    <w:p>
      <w:pPr>
        <w:spacing w:after="80" w:before="220"/>
      </w:pPr>
      <w:r>
        <w:rPr>
          <w:rFonts w:ascii="Arial" w:cs="Arial" w:eastAsia="Arial" w:hAnsi="Arial"/>
          <w:b/>
          <w:bCs/>
          <w:color w:val="2A8C8C"/>
          <w:sz w:val="24"/>
          <w:szCs w:val="24"/>
        </w:rPr>
        <w:t xml:space="preserve">4.2  Content Gap Analysis</w:t>
      </w:r>
    </w:p>
    <w:p>
      <w:pPr>
        <w:spacing w:after="140" w:before="0"/>
        <w:jc w:val="left"/>
      </w:pPr>
      <w:r>
        <w:rPr>
          <w:rFonts w:ascii="Arial" w:cs="Arial" w:eastAsia="Arial" w:hAnsi="Arial"/>
          <w:b w:val="false"/>
          <w:bCs w:val="false"/>
          <w:i w:val="false"/>
          <w:iCs w:val="false"/>
          <w:color w:val="555555"/>
          <w:sz w:val="20"/>
          <w:szCs w:val="20"/>
        </w:rPr>
        <w:t xml:space="preserve">The audit doesn't just tell you what to do with what you have. It tells you what you're missing. After scoring your existing content, map your gaps across funnel stages and topic clusters.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520"/>
        <w:gridCol w:w="2520"/>
        <w:gridCol w:w="2520"/>
      </w:tblGrid>
      <w:tr>
        <w:tc>
          <w:tcPr>
            <w:tcW w:type="dxa" w:w="18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Topic Cluster</w:t>
            </w:r>
          </w:p>
        </w:tc>
        <w:tc>
          <w:tcPr>
            <w:tcW w:type="dxa" w:w="2520"/>
            <w:tcBorders>
              <w:top w:val="single" w:color="2A8C8C" w:sz="4"/>
              <w:left w:val="single" w:color="2A8C8C" w:sz="4"/>
              <w:bottom w:val="single" w:color="2A8C8C" w:sz="4"/>
              <w:right w:val="single" w:color="2A8C8C" w:sz="4"/>
            </w:tcBorders>
            <w:shd w:fill="2A8C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TOFU — Awareness</w:t>
            </w:r>
          </w:p>
        </w:tc>
        <w:tc>
          <w:tcPr>
            <w:tcW w:type="dxa" w:w="2520"/>
            <w:tcBorders>
              <w:top w:val="single" w:color="2A6B8C" w:sz="4"/>
              <w:left w:val="single" w:color="2A6B8C" w:sz="4"/>
              <w:bottom w:val="single" w:color="2A6B8C" w:sz="4"/>
              <w:right w:val="single" w:color="2A6B8C" w:sz="4"/>
            </w:tcBorders>
            <w:shd w:fill="2A6B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MOFU — Consideration</w:t>
            </w:r>
          </w:p>
        </w:tc>
        <w:tc>
          <w:tcPr>
            <w:tcW w:type="dxa" w:w="2520"/>
            <w:tcBorders>
              <w:top w:val="single" w:color="C1674A" w:sz="4"/>
              <w:left w:val="single" w:color="C1674A" w:sz="4"/>
              <w:bottom w:val="single" w:color="C1674A" w:sz="4"/>
              <w:right w:val="single" w:color="C1674A" w:sz="4"/>
            </w:tcBorders>
            <w:shd w:fill="C167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BOFU — Decision</w:t>
            </w:r>
          </w:p>
        </w:tc>
      </w:tr>
      <w:tr>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252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26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PHASE 5 — PRIORITISE ACTION</w:t>
      </w:r>
    </w:p>
    <w:p>
      <w:pPr>
        <w:spacing w:after="80" w:before="220"/>
      </w:pPr>
      <w:r>
        <w:rPr>
          <w:rFonts w:ascii="Arial" w:cs="Arial" w:eastAsia="Arial" w:hAnsi="Arial"/>
          <w:b/>
          <w:bCs/>
          <w:color w:val="2A8C8C"/>
          <w:sz w:val="24"/>
          <w:szCs w:val="24"/>
        </w:rPr>
        <w:t xml:space="preserve">5.1  Prioritisation Matrix</w:t>
      </w:r>
    </w:p>
    <w:p>
      <w:pPr>
        <w:spacing w:after="140" w:before="0"/>
        <w:jc w:val="left"/>
      </w:pPr>
      <w:r>
        <w:rPr>
          <w:rFonts w:ascii="Arial" w:cs="Arial" w:eastAsia="Arial" w:hAnsi="Arial"/>
          <w:b w:val="false"/>
          <w:bCs w:val="false"/>
          <w:i w:val="false"/>
          <w:iCs w:val="false"/>
          <w:color w:val="555555"/>
          <w:sz w:val="20"/>
          <w:szCs w:val="20"/>
        </w:rPr>
        <w:t xml:space="preserve">You won't do everything at once. Use this matrix to sequence your actions. Prioritise high-impact, low-effort work first — especially if you're a team of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680"/>
        <w:gridCol w:w="3680"/>
      </w:tblGrid>
      <w:tr>
        <w:tc>
          <w:tcPr>
            <w:tcW w:type="dxa" w:w="2000"/>
            <w:tcBorders>
              <w:top w:val="single" w:color="FFFFFF" w:sz="4"/>
              <w:left w:val="single" w:color="FFFFFF" w:sz="4"/>
              <w:bottom w:val="single" w:color="FFFFFF" w:sz="4"/>
              <w:right w:val="single" w:color="FFFFFF" w:sz="4"/>
            </w:tcBorders>
            <w:shd w:fill="FFFFFF" w:val="clear"/>
            <w:tcMar>
              <w:top w:type="dxa" w:w="100"/>
              <w:left w:type="dxa" w:w="140"/>
              <w:bottom w:type="dxa" w:w="100"/>
              <w:right w:type="dxa" w:w="140"/>
            </w:tcMar>
            <w:vAlign w:val="center"/>
          </w:tcPr>
          <w:p>
            <w:pPr>
              <w:jc w:val="left"/>
            </w:pPr>
            <w:r>
              <w:rPr>
                <w:rFonts w:ascii="Arial" w:cs="Arial" w:eastAsia="Arial" w:hAnsi="Arial"/>
                <w:b/>
                <w:bCs/>
                <w:color w:val="1B2A4A"/>
                <w:sz w:val="20"/>
                <w:szCs w:val="20"/>
              </w:rPr>
              <w:t xml:space="preserve"/>
            </w:r>
          </w:p>
        </w:tc>
        <w:tc>
          <w:tcPr>
            <w:tcW w:type="dxa" w:w="3680"/>
            <w:tcBorders>
              <w:top w:val="single" w:color="2A8C8C" w:sz="4"/>
              <w:left w:val="single" w:color="2A8C8C" w:sz="4"/>
              <w:bottom w:val="single" w:color="2A8C8C" w:sz="4"/>
              <w:right w:val="single" w:color="2A8C8C" w:sz="4"/>
            </w:tcBorders>
            <w:shd w:fill="2A8C8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Low Effort</w:t>
            </w:r>
          </w:p>
        </w:tc>
        <w:tc>
          <w:tcPr>
            <w:tcW w:type="dxa" w:w="36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High Effort</w:t>
            </w:r>
          </w:p>
        </w:tc>
      </w:tr>
      <w:tr>
        <w:tc>
          <w:tcPr>
            <w:tcW w:type="dxa" w:w="2000"/>
            <w:tcBorders>
              <w:top w:val="single" w:color="2A7A4A" w:sz="4"/>
              <w:left w:val="single" w:color="2A7A4A" w:sz="4"/>
              <w:bottom w:val="single" w:color="2A7A4A" w:sz="4"/>
              <w:right w:val="single" w:color="2A7A4A" w:sz="4"/>
            </w:tcBorders>
            <w:shd w:fill="2A7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High Impact</w:t>
            </w:r>
          </w:p>
        </w:tc>
        <w:tc>
          <w:tcPr>
            <w:tcW w:type="dxa" w:w="3680"/>
            <w:tcBorders>
              <w:top w:val="single" w:color="D5CFC6" w:sz="4"/>
              <w:left w:val="single" w:color="D5CFC6" w:sz="4"/>
              <w:bottom w:val="single" w:color="D5CFC6" w:sz="4"/>
              <w:right w:val="single" w:color="D5CFC6" w:sz="4"/>
            </w:tcBorders>
            <w:shd w:fill="E8F5EA" w:val="clear"/>
            <w:tcMar>
              <w:top w:type="dxa" w:w="140"/>
              <w:left w:type="dxa" w:w="160"/>
              <w:bottom w:type="dxa" w:w="140"/>
              <w:right w:type="dxa" w:w="160"/>
            </w:tcMar>
          </w:tcPr>
          <w:p>
            <w:pPr>
              <w:spacing w:after="60"/>
            </w:pPr>
            <w:r>
              <w:rPr>
                <w:rFonts w:ascii="Arial" w:cs="Arial" w:eastAsia="Arial" w:hAnsi="Arial"/>
                <w:b/>
                <w:bCs/>
                <w:color w:val="2A7A4A"/>
                <w:sz w:val="20"/>
                <w:szCs w:val="20"/>
              </w:rPr>
              <w:t xml:space="preserve">DO FIRST</w:t>
            </w:r>
          </w:p>
          <w:p>
            <w:r>
              <w:rPr>
                <w:rFonts w:ascii="Arial" w:cs="Arial" w:eastAsia="Arial" w:hAnsi="Arial"/>
                <w:color w:val="555555"/>
                <w:sz w:val="19"/>
                <w:szCs w:val="19"/>
              </w:rPr>
              <w:t xml:space="preserve">Meta updates, CTA fixes, internal link optimisation, quick SEO wins on pages already ranking 5–15.</w:t>
            </w:r>
          </w:p>
        </w:tc>
        <w:tc>
          <w:tcPr>
            <w:tcW w:type="dxa" w:w="3680"/>
            <w:tcBorders>
              <w:top w:val="single" w:color="D5CFC6" w:sz="4"/>
              <w:left w:val="single" w:color="D5CFC6" w:sz="4"/>
              <w:bottom w:val="single" w:color="D5CFC6" w:sz="4"/>
              <w:right w:val="single" w:color="D5CFC6" w:sz="4"/>
            </w:tcBorders>
            <w:shd w:fill="FFF8E0" w:val="clear"/>
            <w:tcMar>
              <w:top w:type="dxa" w:w="140"/>
              <w:left w:type="dxa" w:w="160"/>
              <w:bottom w:type="dxa" w:w="140"/>
              <w:right w:type="dxa" w:w="160"/>
            </w:tcMar>
          </w:tcPr>
          <w:p>
            <w:pPr>
              <w:spacing w:after="60"/>
            </w:pPr>
            <w:r>
              <w:rPr>
                <w:rFonts w:ascii="Arial" w:cs="Arial" w:eastAsia="Arial" w:hAnsi="Arial"/>
                <w:b/>
                <w:bCs/>
                <w:color w:val="7A6A2A"/>
                <w:sz w:val="20"/>
                <w:szCs w:val="20"/>
              </w:rPr>
              <w:t xml:space="preserve">PLAN &amp; SCHEDULE</w:t>
            </w:r>
          </w:p>
          <w:p>
            <w:r>
              <w:rPr>
                <w:rFonts w:ascii="Arial" w:cs="Arial" w:eastAsia="Arial" w:hAnsi="Arial"/>
                <w:color w:val="555555"/>
                <w:sz w:val="19"/>
                <w:szCs w:val="19"/>
              </w:rPr>
              <w:t xml:space="preserve">Full rewrites of high-potential, low-performing cornerstone content. Block time and resource properly.</w:t>
            </w:r>
          </w:p>
        </w:tc>
      </w:tr>
      <w:tr>
        <w:tc>
          <w:tcPr>
            <w:tcW w:type="dxa" w:w="2000"/>
            <w:tcBorders>
              <w:top w:val="single" w:color="888888" w:sz="4"/>
              <w:left w:val="single" w:color="888888" w:sz="4"/>
              <w:bottom w:val="single" w:color="888888" w:sz="4"/>
              <w:right w:val="single" w:color="888888" w:sz="4"/>
            </w:tcBorders>
            <w:shd w:fill="888888"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Low Impact</w:t>
            </w:r>
          </w:p>
        </w:tc>
        <w:tc>
          <w:tcPr>
            <w:tcW w:type="dxa" w:w="3680"/>
            <w:tcBorders>
              <w:top w:val="single" w:color="D5CFC6" w:sz="4"/>
              <w:left w:val="single" w:color="D5CFC6" w:sz="4"/>
              <w:bottom w:val="single" w:color="D5CFC6" w:sz="4"/>
              <w:right w:val="single" w:color="D5CFC6" w:sz="4"/>
            </w:tcBorders>
            <w:shd w:fill="FFF0E0" w:val="clear"/>
            <w:tcMar>
              <w:top w:type="dxa" w:w="140"/>
              <w:left w:type="dxa" w:w="160"/>
              <w:bottom w:type="dxa" w:w="140"/>
              <w:right w:type="dxa" w:w="160"/>
            </w:tcMar>
          </w:tcPr>
          <w:p>
            <w:pPr>
              <w:spacing w:after="60"/>
            </w:pPr>
            <w:r>
              <w:rPr>
                <w:rFonts w:ascii="Arial" w:cs="Arial" w:eastAsia="Arial" w:hAnsi="Arial"/>
                <w:b/>
                <w:bCs/>
                <w:color w:val="8A5A2A"/>
                <w:sz w:val="20"/>
                <w:szCs w:val="20"/>
              </w:rPr>
              <w:t xml:space="preserve">BATCH OR DELEGATE</w:t>
            </w:r>
          </w:p>
          <w:p>
            <w:r>
              <w:rPr>
                <w:rFonts w:ascii="Arial" w:cs="Arial" w:eastAsia="Arial" w:hAnsi="Arial"/>
                <w:color w:val="555555"/>
                <w:sz w:val="19"/>
                <w:szCs w:val="19"/>
              </w:rPr>
              <w:t xml:space="preserve">Minor copy refreshes, tag/category updates, basic SEO fixes on low-traffic pages.</w:t>
            </w:r>
          </w:p>
        </w:tc>
        <w:tc>
          <w:tcPr>
            <w:tcW w:type="dxa" w:w="3680"/>
            <w:tcBorders>
              <w:top w:val="single" w:color="D5CFC6" w:sz="4"/>
              <w:left w:val="single" w:color="D5CFC6" w:sz="4"/>
              <w:bottom w:val="single" w:color="D5CFC6" w:sz="4"/>
              <w:right w:val="single" w:color="D5CFC6" w:sz="4"/>
            </w:tcBorders>
            <w:shd w:fill="FDECEA" w:val="clear"/>
            <w:tcMar>
              <w:top w:type="dxa" w:w="140"/>
              <w:left w:type="dxa" w:w="160"/>
              <w:bottom w:type="dxa" w:w="140"/>
              <w:right w:type="dxa" w:w="160"/>
            </w:tcMar>
          </w:tcPr>
          <w:p>
            <w:pPr>
              <w:spacing w:after="60"/>
            </w:pPr>
            <w:r>
              <w:rPr>
                <w:rFonts w:ascii="Arial" w:cs="Arial" w:eastAsia="Arial" w:hAnsi="Arial"/>
                <w:b/>
                <w:bCs/>
                <w:color w:val="8A2A2A"/>
                <w:sz w:val="20"/>
                <w:szCs w:val="20"/>
              </w:rPr>
              <w:t xml:space="preserve">DON'T DO IT</w:t>
            </w:r>
          </w:p>
          <w:p>
            <w:r>
              <w:rPr>
                <w:rFonts w:ascii="Arial" w:cs="Arial" w:eastAsia="Arial" w:hAnsi="Arial"/>
                <w:color w:val="555555"/>
                <w:sz w:val="19"/>
                <w:szCs w:val="19"/>
              </w:rPr>
              <w:t xml:space="preserve">Rewriting content with no traffic, no keyword potential, and no conversion value. Remove instead.</w:t>
            </w:r>
          </w:p>
        </w:tc>
      </w:tr>
    </w:tbl>
    <w:p>
      <w:pPr>
        <w:spacing w:after="220" w:before="0"/>
      </w:pPr>
      <w:r>
        <w:rPr>
          <w:sz w:val="4"/>
          <w:szCs w:val="4"/>
        </w:rPr>
        <w:t xml:space="preserve"> </w:t>
      </w:r>
    </w:p>
    <w:p>
      <w:pPr>
        <w:spacing w:after="80" w:before="220"/>
      </w:pPr>
      <w:r>
        <w:rPr>
          <w:rFonts w:ascii="Arial" w:cs="Arial" w:eastAsia="Arial" w:hAnsi="Arial"/>
          <w:b/>
          <w:bCs/>
          <w:color w:val="2A8C8C"/>
          <w:sz w:val="24"/>
          <w:szCs w:val="24"/>
        </w:rPr>
        <w:t xml:space="preserve">5.2  Audit Action Plan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900"/>
        <w:gridCol w:w="1460"/>
        <w:gridCol w:w="1600"/>
        <w:gridCol w:w="1200"/>
        <w:gridCol w:w="1800"/>
      </w:tblGrid>
      <w:tr>
        <w:tc>
          <w:tcPr>
            <w:tcW w:type="dxa" w:w="24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URL / Title</w:t>
            </w:r>
          </w:p>
        </w:tc>
        <w:tc>
          <w:tcPr>
            <w:tcW w:type="dxa" w:w="9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Score</w:t>
            </w:r>
          </w:p>
        </w:tc>
        <w:tc>
          <w:tcPr>
            <w:tcW w:type="dxa" w:w="146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Action</w:t>
            </w:r>
          </w:p>
        </w:tc>
        <w:tc>
          <w:tcPr>
            <w:tcW w:type="dxa" w:w="16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Owner</w:t>
            </w:r>
          </w:p>
        </w:tc>
        <w:tc>
          <w:tcPr>
            <w:tcW w:type="dxa" w:w="12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Deadline</w:t>
            </w:r>
          </w:p>
        </w:tc>
        <w:tc>
          <w:tcPr>
            <w:tcW w:type="dxa" w:w="18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Notes</w:t>
            </w:r>
          </w:p>
        </w:tc>
      </w:tr>
      <w:tr>
        <w:tc>
          <w:tcPr>
            <w:tcW w:type="dxa" w:w="2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r>
        <w:tc>
          <w:tcPr>
            <w:tcW w:type="dxa" w:w="24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9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46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6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2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c>
          <w:tcPr>
            <w:tcW w:type="dxa" w:w="180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
            </w:r>
          </w:p>
        </w:tc>
      </w:tr>
    </w:tbl>
    <w:p>
      <w:pPr>
        <w:spacing w:after="280" w:before="0"/>
      </w:pPr>
      <w:r>
        <w:rPr>
          <w:sz w:val="4"/>
          <w:szCs w:val="4"/>
        </w:rPr>
        <w:t xml:space="preserve"> </w:t>
      </w:r>
    </w:p>
    <w:p>
      <w:pPr>
        <w:pBdr>
          <w:bottom w:val="single" w:color="E8E4DE" w:sz="6" w:space="6"/>
        </w:pBdr>
        <w:spacing w:after="120" w:before="340"/>
      </w:pPr>
      <w:r>
        <w:rPr>
          <w:rFonts w:ascii="Arial" w:cs="Arial" w:eastAsia="Arial" w:hAnsi="Arial"/>
          <w:b/>
          <w:bCs/>
          <w:color w:val="1B2A4A"/>
          <w:sz w:val="22"/>
          <w:szCs w:val="22"/>
        </w:rPr>
        <w:t xml:space="preserve">PHASE 6 — AUDIT CADENCE &amp; ONGOING MAINTENANCE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780"/>
        <w:gridCol w:w="3780"/>
      </w:tblGrid>
      <w:tr>
        <w:tc>
          <w:tcPr>
            <w:tcW w:type="dxa" w:w="180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Cadence</w:t>
            </w:r>
          </w:p>
        </w:tc>
        <w:tc>
          <w:tcPr>
            <w:tcW w:type="dxa" w:w="37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What to Review</w:t>
            </w:r>
          </w:p>
        </w:tc>
        <w:tc>
          <w:tcPr>
            <w:tcW w:type="dxa" w:w="3780"/>
            <w:tcBorders>
              <w:top w:val="single" w:color="1B2A4A" w:sz="4"/>
              <w:left w:val="single" w:color="1B2A4A" w:sz="4"/>
              <w:bottom w:val="single" w:color="1B2A4A" w:sz="4"/>
              <w:right w:val="single" w:color="1B2A4A" w:sz="4"/>
            </w:tcBorders>
            <w:shd w:fill="1B2A4A"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Time Investment</w:t>
            </w:r>
          </w:p>
        </w:tc>
      </w:tr>
      <w:tr>
        <w:tc>
          <w:tcPr>
            <w:tcW w:type="dxa" w:w="18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Monthly</w:t>
            </w:r>
          </w:p>
        </w:tc>
        <w:tc>
          <w:tcPr>
            <w:tcW w:type="dxa" w:w="3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Top 10 pages by traffic + conversion. Flag anything that's dropped significantly since last month.</w:t>
            </w:r>
          </w:p>
        </w:tc>
        <w:tc>
          <w:tcPr>
            <w:tcW w:type="dxa" w:w="3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30–45 minutes</w:t>
            </w:r>
          </w:p>
        </w:tc>
      </w:tr>
      <w:tr>
        <w:tc>
          <w:tcPr>
            <w:tcW w:type="dxa" w:w="18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Quarterly</w:t>
            </w:r>
          </w:p>
        </w:tc>
        <w:tc>
          <w:tcPr>
            <w:tcW w:type="dxa" w:w="3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All content published in the last 12 months. Score against the health framework. Update the action plan.</w:t>
            </w:r>
          </w:p>
        </w:tc>
        <w:tc>
          <w:tcPr>
            <w:tcW w:type="dxa" w:w="3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Half day</w:t>
            </w:r>
          </w:p>
        </w:tc>
      </w:tr>
      <w:tr>
        <w:tc>
          <w:tcPr>
            <w:tcW w:type="dxa" w:w="1800"/>
            <w:tcBorders>
              <w:top w:val="single" w:color="D5CFC6" w:sz="4"/>
              <w:left w:val="single" w:color="D5CFC6" w:sz="4"/>
              <w:bottom w:val="single" w:color="D5CFC6" w:sz="4"/>
              <w:right w:val="single" w:color="D5CFC6" w:sz="4"/>
            </w:tcBorders>
            <w:shd w:fill="F5F3EF" w:val="clear"/>
            <w:tcMar>
              <w:top w:type="dxa" w:w="90"/>
              <w:left w:type="dxa" w:w="140"/>
              <w:bottom w:type="dxa" w:w="90"/>
              <w:right w:type="dxa" w:w="140"/>
            </w:tcMar>
          </w:tcPr>
          <w:p>
            <w:r>
              <w:rPr>
                <w:rFonts w:ascii="Arial" w:cs="Arial" w:eastAsia="Arial" w:hAnsi="Arial"/>
                <w:b/>
                <w:bCs/>
                <w:color w:val="1B2A4A"/>
                <w:sz w:val="19"/>
                <w:szCs w:val="19"/>
              </w:rPr>
              <w:t xml:space="preserve">Annually</w:t>
            </w:r>
          </w:p>
        </w:tc>
        <w:tc>
          <w:tcPr>
            <w:tcW w:type="dxa" w:w="3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Full inventory audit. All content types, all pages. Update the gap analysis. Retire what's no longer serving the strategy.</w:t>
            </w:r>
          </w:p>
        </w:tc>
        <w:tc>
          <w:tcPr>
            <w:tcW w:type="dxa" w:w="3780"/>
            <w:tcBorders>
              <w:top w:val="single" w:color="D5CFC6" w:sz="4"/>
              <w:left w:val="single" w:color="D5CFC6" w:sz="4"/>
              <w:bottom w:val="single" w:color="D5CFC6" w:sz="4"/>
              <w:right w:val="single" w:color="D5CFC6" w:sz="4"/>
            </w:tcBorders>
            <w:shd w:fill="FFFFFF" w:val="clear"/>
            <w:tcMar>
              <w:top w:type="dxa" w:w="90"/>
              <w:left w:type="dxa" w:w="140"/>
              <w:bottom w:type="dxa" w:w="90"/>
              <w:right w:type="dxa" w:w="140"/>
            </w:tcMar>
          </w:tcPr>
          <w:p>
            <w:r>
              <w:rPr>
                <w:rFonts w:ascii="Arial" w:cs="Arial" w:eastAsia="Arial" w:hAnsi="Arial"/>
                <w:i w:val="false"/>
                <w:iCs w:val="false"/>
                <w:color w:val="555555"/>
                <w:sz w:val="19"/>
                <w:szCs w:val="19"/>
              </w:rPr>
              <w:t xml:space="preserve">2–3 days</w:t>
            </w:r>
          </w:p>
        </w:tc>
      </w:tr>
      <w:tr>
        <w:tc>
          <w:tcPr>
            <w:tcW w:type="dxa" w:w="1800"/>
            <w:tcBorders>
              <w:top w:val="single" w:color="D5CFC6" w:sz="4"/>
              <w:left w:val="single" w:color="D5CFC6" w:sz="4"/>
              <w:bottom w:val="single" w:color="D5CFC6" w:sz="4"/>
              <w:right w:val="single" w:color="D5CFC6" w:sz="4"/>
            </w:tcBorders>
            <w:shd w:fill="EDE9E3" w:val="clear"/>
            <w:tcMar>
              <w:top w:type="dxa" w:w="90"/>
              <w:left w:type="dxa" w:w="140"/>
              <w:bottom w:type="dxa" w:w="90"/>
              <w:right w:type="dxa" w:w="140"/>
            </w:tcMar>
          </w:tcPr>
          <w:p>
            <w:r>
              <w:rPr>
                <w:rFonts w:ascii="Arial" w:cs="Arial" w:eastAsia="Arial" w:hAnsi="Arial"/>
                <w:b/>
                <w:bCs/>
                <w:color w:val="1B2A4A"/>
                <w:sz w:val="19"/>
                <w:szCs w:val="19"/>
              </w:rPr>
              <w:t xml:space="preserve">Post-rebrand / Migration</w:t>
            </w:r>
          </w:p>
        </w:tc>
        <w:tc>
          <w:tcPr>
            <w:tcW w:type="dxa" w:w="3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Full audit with redirect mapping. Not optional.</w:t>
            </w:r>
          </w:p>
        </w:tc>
        <w:tc>
          <w:tcPr>
            <w:tcW w:type="dxa" w:w="3780"/>
            <w:tcBorders>
              <w:top w:val="single" w:color="D5CFC6" w:sz="4"/>
              <w:left w:val="single" w:color="D5CFC6" w:sz="4"/>
              <w:bottom w:val="single" w:color="D5CFC6" w:sz="4"/>
              <w:right w:val="single" w:color="D5CFC6" w:sz="4"/>
            </w:tcBorders>
            <w:shd w:fill="FAF8F5" w:val="clear"/>
            <w:tcMar>
              <w:top w:type="dxa" w:w="90"/>
              <w:left w:type="dxa" w:w="140"/>
              <w:bottom w:type="dxa" w:w="90"/>
              <w:right w:type="dxa" w:w="140"/>
            </w:tcMar>
          </w:tcPr>
          <w:p>
            <w:r>
              <w:rPr>
                <w:rFonts w:ascii="Arial" w:cs="Arial" w:eastAsia="Arial" w:hAnsi="Arial"/>
                <w:i w:val="false"/>
                <w:iCs w:val="false"/>
                <w:color w:val="555555"/>
                <w:sz w:val="19"/>
                <w:szCs w:val="19"/>
              </w:rPr>
              <w:t xml:space="preserve">Scoped project</w:t>
            </w:r>
          </w:p>
        </w:tc>
      </w:tr>
    </w:tbl>
    <w:p>
      <w:pPr>
        <w:spacing w:after="220" w:before="0"/>
      </w:pPr>
      <w:r>
        <w:rPr>
          <w:sz w:val="4"/>
          <w:szCs w:val="4"/>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2A8C8C" w:sz="14"/>
              <w:bottom w:val="none" w:color="FFFFFF" w:sz="0"/>
              <w:right w:val="none" w:color="FFFFFF" w:sz="0"/>
            </w:tcBorders>
            <w:shd w:fill="EAF5F5" w:val="clear"/>
            <w:tcMar>
              <w:top w:type="dxa" w:w="100"/>
              <w:left w:type="dxa" w:w="180"/>
              <w:bottom w:type="dxa" w:w="100"/>
              <w:right w:type="dxa" w:w="180"/>
            </w:tcMar>
          </w:tcPr>
          <w:p>
            <w:r>
              <w:rPr>
                <w:rFonts w:ascii="Arial" w:cs="Arial" w:eastAsia="Arial" w:hAnsi="Arial"/>
                <w:sz w:val="20"/>
                <w:szCs w:val="20"/>
              </w:rPr>
              <w:t xml:space="preserve">💡  </w:t>
            </w:r>
            <w:r>
              <w:rPr>
                <w:rFonts w:ascii="Arial" w:cs="Arial" w:eastAsia="Arial" w:hAnsi="Arial"/>
                <w:i/>
                <w:iCs/>
                <w:color w:val="2A5F5F"/>
                <w:sz w:val="19"/>
                <w:szCs w:val="19"/>
              </w:rPr>
              <w:t xml:space="preserve">The audit isn't a one-time project. The teams who stay ahead of content debt run lightweight monthly reviews so the annual audit doesn't feel like excavating a ruin.</w:t>
            </w:r>
          </w:p>
        </w:tc>
      </w:tr>
    </w:tbl>
    <w:sectPr>
      <w:footerReference w:type="default" r:id="rId7"/>
      <w:pgSz w:w="12240" w:h="15840" w:orient="portrait"/>
      <w:pgMar w:top="72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8E4DE" w:sz="4" w:space="8"/>
      </w:pBdr>
      <w:spacing w:before="80"/>
      <w:jc w:val="center"/>
    </w:pPr>
    <w:r>
      <w:rPr>
        <w:rFonts w:ascii="Arial" w:cs="Arial" w:eastAsia="Arial" w:hAnsi="Arial"/>
        <w:color w:val="AAAAAA"/>
        <w:sz w:val="16"/>
        <w:szCs w:val="16"/>
      </w:rPr>
      <w:t xml:space="preserve">She Leads Content  ·  Content Audit Framework  ·  sheleadscontent.com</w:t>
    </w:r>
    <w:r>
      <w:rPr>
        <w:rFonts w:ascii="Arial" w:cs="Arial" w:eastAsia="Arial" w:hAnsi="Arial"/>
        <w:color w:val="AAAAAA"/>
        <w:sz w:val="16"/>
        <w:szCs w:val="16"/>
      </w:rPr>
      <w:t xml:space="preserve">   Page </w:t>
    </w:r>
    <w:r>
      <w:rPr>
        <w:rFonts w:ascii="Arial" w:cs="Arial" w:eastAsia="Arial" w:hAnsi="Arial"/>
        <w:color w:val="AAAAA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555555"/>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B2A4A"/>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2A8C8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2026-06-24T08:46:41.895Z</dcterms:created>
  <dcterms:modified xsi:type="dcterms:W3CDTF">2026-06-24T08:46:41.895Z</dcterms:modified>
</cp:coreProperties>
</file>

<file path=docProps/custom.xml><?xml version="1.0" encoding="utf-8"?>
<Properties xmlns="http://schemas.openxmlformats.org/officeDocument/2006/custom-properties" xmlns:vt="http://schemas.openxmlformats.org/officeDocument/2006/docPropsVTypes"/>
</file>